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Cambria" w:cs="Cambria" w:eastAsia="Cambria" w:hAnsi="Cambria"/>
          <w:b w:val="false"/>
          <w:bCs w:val="false"/>
          <w:smallCaps/>
          <w:color w:val="1F3A5F"/>
          <w:spacing w:val="10"/>
          <w:sz w:val="48"/>
          <w:szCs w:val="48"/>
        </w:rPr>
        <w:t xml:space="preserve">Helen Okoro</w:t>
      </w:r>
    </w:p>
    <w:p>
      <w:pPr>
        <w:pStyle w:val="CVRole"/>
        <w:spacing w:after="60"/>
      </w:pPr>
      <w:r>
        <w:rPr>
          <w:rFonts w:ascii="Cambria" w:cs="Cambria" w:eastAsia="Cambria" w:hAnsi="Cambria"/>
          <w:b/>
          <w:bCs/>
          <w:color w:val="1D1D1D"/>
          <w:sz w:val="22"/>
          <w:szCs w:val="22"/>
        </w:rPr>
        <w:t xml:space="preserve">Management Accountant</w:t>
      </w:r>
    </w:p>
    <w:p>
      <w:pPr>
        <w:pStyle w:val="CVContact"/>
        <w:spacing w:after="120"/>
      </w:pPr>
      <w:r>
        <w:rPr>
          <w:rFonts w:ascii="Cambria" w:cs="Cambria" w:eastAsia="Cambria" w:hAnsi="Cambria"/>
          <w:color w:val="444444"/>
          <w:sz w:val="19"/>
          <w:szCs w:val="19"/>
        </w:rPr>
        <w:t xml:space="preserve">Cambridge · 07700 900187 · helen.okoro@example.com · linkedin.com/in/helen-okoro-example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Profile</w:t>
      </w:r>
    </w:p>
    <w:p>
      <w:pPr>
        <w:pStyle w:val="CVBody"/>
        <w:spacing w:after="7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CIMA-qualified management accountant with seven years in manufacturing and distribution finance teams. Runs the month-end close and management accounts for a £48 million business, builds the annual budget and quarterly forecasts with budget holders, and turns the numbers into decisions. Looking for a senior management accountant or finance business partner role.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Experience</w:t>
      </w:r>
    </w:p>
    <w:p>
      <w:pPr>
        <w:pStyle w:val="CVEntry"/>
        <w:keepNext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Management Accountant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Fenland Packaging Ltd, Cambridge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2022–present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Run the month-end close and management accounts pack for a £48 million business, reported by working day five.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Build the annual budget and quarterly forecasts with eight budget holders, and explain variances to the board each month.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Found that two loss-making delivery routes were hidden in a regional average; the routes were merged, saving £180,000 a year.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Prepare balance sheet reconciliations, the fixed asset register and audit files, and manage one assistant accountant.</w:t>
      </w:r>
    </w:p>
    <w:p>
      <w:pPr>
        <w:pStyle w:val="CVEntry"/>
        <w:keepNext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Assistant Management Accountant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Ely Valley Foods, Ely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2019–2022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Prepared product costings and stock valuations and supported the move to a new finance system.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Qualifications</w:t>
      </w:r>
    </w:p>
    <w:p>
      <w:pPr>
        <w:pStyle w:val="CVEntry"/>
        <w:keepNext w:val="false"/>
        <w:tabs>
          <w:tab w:val="right" w:pos="9638"/>
        </w:tabs>
        <w:spacing w:after="30" w:before="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Chartered Management Accountant, CIMA (ACMA, CGMA)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2023</w:t>
      </w:r>
    </w:p>
    <w:p>
      <w:pPr>
        <w:pStyle w:val="CVEntry"/>
        <w:keepNext w:val="false"/>
        <w:tabs>
          <w:tab w:val="right" w:pos="9638"/>
        </w:tabs>
        <w:spacing w:after="30" w:before="110" w:line="250"/>
      </w:pPr>
      <w:r>
        <w:rPr>
          <w:rFonts w:ascii="Cambria" w:cs="Cambria" w:eastAsia="Cambria" w:hAnsi="Cambria"/>
          <w:b/>
          <w:bCs/>
          <w:color w:val="1D1D1D"/>
          <w:sz w:val="21"/>
          <w:szCs w:val="21"/>
        </w:rPr>
        <w:t xml:space="preserve">BSc (Hons) Accounting and Finance, 2:1</w:t>
      </w:r>
      <w:r>
        <w:rPr>
          <w:rFonts w:ascii="Cambria" w:cs="Cambria" w:eastAsia="Cambria" w:hAnsi="Cambria"/>
          <w:i/>
          <w:iCs/>
          <w:color w:val="444444"/>
          <w:sz w:val="21"/>
          <w:szCs w:val="21"/>
        </w:rPr>
        <w:t xml:space="preserve">, University of the Cam Valley</w:t>
      </w:r>
      <w:r>
        <w:rPr>
          <w:rFonts w:ascii="Cambria" w:cs="Cambria" w:eastAsia="Cambria" w:hAnsi="Cambria"/>
          <w:color w:val="444444"/>
          <w:sz w:val="20"/>
          <w:szCs w:val="20"/>
        </w:rPr>
        <w:tab/>
        <w:t xml:space="preserve">2015–2018</w:t>
      </w:r>
    </w:p>
    <w:p>
      <w:pPr>
        <w:pStyle w:val="CVSection"/>
        <w:keepNext/>
        <w:keepLines/>
        <w:pBdr>
          <w:bottom w:val="single" w:color="1F3A5F" w:sz="6" w:space="2"/>
        </w:pBdr>
        <w:spacing w:after="100" w:before="220"/>
      </w:pPr>
      <w:r>
        <w:rPr>
          <w:rFonts w:ascii="Cambria" w:cs="Cambria" w:eastAsia="Cambria" w:hAnsi="Cambria"/>
          <w:b/>
          <w:bCs/>
          <w:smallCaps/>
          <w:color w:val="1F3A5F"/>
          <w:spacing w:val="10"/>
          <w:sz w:val="24"/>
          <w:szCs w:val="24"/>
        </w:rPr>
        <w:t xml:space="preserve">Skills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Month-end close and management reporting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Budgets, forecasts and variance analysis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Product costing and stock valuation</w:t>
      </w:r>
    </w:p>
    <w:p>
      <w:pPr>
        <w:pStyle w:val="CVBullet"/>
        <w:numPr>
          <w:ilvl w:val="0"/>
          <w:numId w:val="2"/>
        </w:numPr>
        <w:spacing w:after="40" w:line="250"/>
      </w:pPr>
      <w:r>
        <w:rPr>
          <w:rFonts w:ascii="Cambria" w:cs="Cambria" w:eastAsia="Cambria" w:hAnsi="Cambria"/>
          <w:color w:val="1D1D1D"/>
          <w:sz w:val="21"/>
          <w:szCs w:val="21"/>
        </w:rPr>
        <w:t xml:space="preserve">Sage Intacct, Power BI and advanced Excel</w:t>
      </w:r>
    </w:p>
    <w:sectPr>
      <w:pgSz w:w="11906" w:h="16838" w:orient="portrait"/>
      <w:pgMar w:top="1020" w:right="1134" w:bottom="1020" w:left="1134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color w:val="1D1D1D"/>
        <w:sz w:val="21"/>
        <w:szCs w:val="21"/>
      </w:rPr>
    </w:rPrDefault>
    <w:pPrDefault>
      <w:pPr>
        <w:widowControl/>
        <w:spacing w:after="70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70" w:line="250"/>
    </w:pPr>
    <w:rPr>
      <w:rFonts w:ascii="Cambria" w:cs="Cambria" w:eastAsia="Cambria" w:hAnsi="Cambria"/>
      <w:color w:val="1D1D1D"/>
      <w:sz w:val="21"/>
      <w:szCs w:val="21"/>
    </w:rPr>
  </w:style>
  <w:style w:type="paragraph" w:styleId="CVName">
    <w:name w:val="CV Name"/>
    <w:basedOn w:val="CVBody"/>
    <w:next w:val="CVRole"/>
    <w:qFormat/>
    <w:rPr>
      <w:rFonts w:ascii="Cambria" w:cs="Cambria" w:eastAsia="Cambria" w:hAnsi="Cambria"/>
      <w:b w:val="false"/>
      <w:bCs w:val="false"/>
      <w:color w:val="1F3A5F"/>
      <w:sz w:val="48"/>
      <w:szCs w:val="48"/>
    </w:rPr>
  </w:style>
  <w:style w:type="paragraph" w:styleId="CVRole">
    <w:name w:val="CV Role"/>
    <w:basedOn w:val="CVBody"/>
    <w:next w:val="CVContact"/>
    <w:qFormat/>
    <w:rPr>
      <w:b/>
      <w:bCs/>
      <w:color w:val="1D1D1D"/>
      <w:sz w:val="22"/>
      <w:szCs w:val="22"/>
    </w:rPr>
  </w:style>
  <w:style w:type="paragraph" w:styleId="CVContact">
    <w:name w:val="CV Contact"/>
    <w:basedOn w:val="CVBody"/>
    <w:qFormat/>
    <w:rPr>
      <w:color w:val="444444"/>
      <w:sz w:val="19"/>
      <w:szCs w:val="19"/>
    </w:rPr>
  </w:style>
  <w:style w:type="paragraph" w:styleId="CVSection">
    <w:name w:val="CV Section"/>
    <w:basedOn w:val="CVBody"/>
    <w:next w:val="CVBody"/>
    <w:qFormat/>
    <w:pPr>
      <w:keepNext/>
      <w:spacing w:after="100" w:before="220"/>
      <w:outlineLvl w:val="0"/>
    </w:pPr>
    <w:rPr>
      <w:rFonts w:ascii="Cambria" w:cs="Cambria" w:eastAsia="Cambria" w:hAnsi="Cambria"/>
      <w:b/>
      <w:bCs/>
      <w:smallCaps/>
      <w:color w:val="1F3A5F"/>
      <w:sz w:val="24"/>
      <w:szCs w:val="24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4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Accountant CV example</dc:title>
  <dc:creator>CVTemplates</dc:creator>
  <cp:lastModifiedBy>Un-named</cp:lastModifiedBy>
  <cp:revision>1</cp:revision>
  <dcterms:created xsi:type="dcterms:W3CDTF">2026-10-09T16:45:38.973Z</dcterms:created>
  <dcterms:modified xsi:type="dcterms:W3CDTF">2026-10-09T16:45:38.973Z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