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Arial" w:cs="Arial" w:eastAsia="Arial" w:hAnsi="Arial"/>
          <w:b w:val="false"/>
          <w:bCs w:val="false"/>
          <w:smallCaps w:val="false"/>
          <w:color w:val="111111"/>
          <w:spacing w:val="10"/>
          <w:sz w:val="44"/>
          <w:szCs w:val="44"/>
        </w:rPr>
        <w:t xml:space="preserve">Isabel Moreno</w:t>
      </w:r>
    </w:p>
    <w:p>
      <w:pPr>
        <w:pStyle w:val="CVRole"/>
        <w:spacing w:after="60"/>
      </w:pPr>
      <w:r>
        <w:rPr>
          <w:rFonts w:ascii="Arial" w:cs="Arial" w:eastAsia="Arial" w:hAnsi="Arial"/>
          <w:b w:val="false"/>
          <w:bCs w:val="false"/>
          <w:color w:val="555555"/>
          <w:sz w:val="21"/>
          <w:szCs w:val="21"/>
        </w:rPr>
        <w:t xml:space="preserve">Architect</w:t>
      </w:r>
    </w:p>
    <w:p>
      <w:pPr>
        <w:pStyle w:val="CVContact"/>
        <w:spacing w:after="12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Newcastle upon Tyne   07700 900183   isabel.moreno@example.com   Portfolio: isabelmoreno.example</w:t>
      </w:r>
    </w:p>
    <w:p>
      <w:pPr>
        <w:pStyle w:val="CVSection"/>
        <w:keepNext/>
        <w:keepLines/>
        <w:pBdr>
          <w:top w:val="single" w:color="BBBBBB" w:sz="4" w:space="8"/>
        </w:pBdr>
        <w:spacing w:after="110" w:before="280"/>
      </w:pPr>
      <w:r>
        <w:rPr>
          <w:rFonts w:ascii="Arial" w:cs="Arial" w:eastAsia="Arial" w:hAnsi="Arial"/>
          <w:b w:val="false"/>
          <w:bCs w:val="false"/>
          <w:smallCaps w:val="false"/>
          <w:color w:val="555555"/>
          <w:spacing w:val="40"/>
          <w:sz w:val="17"/>
          <w:szCs w:val="17"/>
        </w:rPr>
        <w:t xml:space="preserve">Profile</w:t>
      </w:r>
    </w:p>
    <w:p>
      <w:pPr>
        <w:pStyle w:val="CVBody"/>
        <w:spacing w:after="8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ARB-registered architect with eight years in practice, five since Part 3, on housing and school projects from £2 million to £14 million. Leads projects from brief to completion, writes planning applications and runs site inspections. Works in Revit and AutoCAD and presents clearly to clients and planning committees. Looking for a project architect or associate role.</w:t>
      </w:r>
    </w:p>
    <w:p>
      <w:pPr>
        <w:pStyle w:val="CVSection"/>
        <w:keepNext/>
        <w:keepLines/>
        <w:pBdr>
          <w:top w:val="single" w:color="BBBBBB" w:sz="4" w:space="8"/>
        </w:pBdr>
        <w:spacing w:after="110" w:before="280"/>
      </w:pPr>
      <w:r>
        <w:rPr>
          <w:rFonts w:ascii="Arial" w:cs="Arial" w:eastAsia="Arial" w:hAnsi="Arial"/>
          <w:b w:val="false"/>
          <w:bCs w:val="false"/>
          <w:smallCaps w:val="false"/>
          <w:color w:val="555555"/>
          <w:spacing w:val="40"/>
          <w:sz w:val="17"/>
          <w:szCs w:val="17"/>
        </w:rPr>
        <w:t xml:space="preserve">Experience</w:t>
      </w:r>
    </w:p>
    <w:p>
      <w:pPr>
        <w:pStyle w:val="CVEntry"/>
        <w:keepNext/>
        <w:tabs>
          <w:tab w:val="right" w:pos="9071"/>
        </w:tabs>
        <w:spacing w:after="30" w:before="0" w:line="26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Project Architect</w:t>
      </w:r>
      <w:r>
        <w:rPr>
          <w:rFonts w:ascii="Arial" w:cs="Arial" w:eastAsia="Arial" w:hAnsi="Arial"/>
          <w:i w:val="false"/>
          <w:iCs w:val="false"/>
          <w:color w:val="555555"/>
          <w:sz w:val="21"/>
          <w:szCs w:val="21"/>
        </w:rPr>
        <w:t xml:space="preserve">, Tyne &amp; Ouse Architects, Newcastle</w:t>
      </w:r>
      <w:r>
        <w:rPr>
          <w:rFonts w:ascii="Arial" w:cs="Arial" w:eastAsia="Arial" w:hAnsi="Arial"/>
          <w:color w:val="555555"/>
          <w:sz w:val="20"/>
          <w:szCs w:val="20"/>
        </w:rPr>
        <w:tab/>
        <w:t xml:space="preserve">2021–present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Lead a £14 million primary school extension from RIBA Stage 2 to Stage 5: design, planning, tender drawings and coordination with engineers.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Won planning consent for 38 homes on a brownfield site after two public consultation events.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Run fortnightly site inspections and issue instructions under the building contract.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Mentor two Part 1 assistants and review their drawings before issue.</w:t>
      </w:r>
    </w:p>
    <w:p>
      <w:pPr>
        <w:pStyle w:val="CVEntry"/>
        <w:keepNext/>
        <w:tabs>
          <w:tab w:val="right" w:pos="9071"/>
        </w:tabs>
        <w:spacing w:after="30" w:before="110" w:line="26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Architectural Assistant (Part 2)</w:t>
      </w:r>
      <w:r>
        <w:rPr>
          <w:rFonts w:ascii="Arial" w:cs="Arial" w:eastAsia="Arial" w:hAnsi="Arial"/>
          <w:i w:val="false"/>
          <w:iCs w:val="false"/>
          <w:color w:val="555555"/>
          <w:sz w:val="21"/>
          <w:szCs w:val="21"/>
        </w:rPr>
        <w:t xml:space="preserve">, Wearside Design Studio, Sunderland</w:t>
      </w:r>
      <w:r>
        <w:rPr>
          <w:rFonts w:ascii="Arial" w:cs="Arial" w:eastAsia="Arial" w:hAnsi="Arial"/>
          <w:color w:val="555555"/>
          <w:sz w:val="20"/>
          <w:szCs w:val="20"/>
        </w:rPr>
        <w:tab/>
        <w:t xml:space="preserve">2018–2021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Produced planning and building regulations drawings for housing schemes and a community centre.</w:t>
      </w:r>
    </w:p>
    <w:p>
      <w:pPr>
        <w:pStyle w:val="CVSection"/>
        <w:keepNext/>
        <w:keepLines/>
        <w:pBdr>
          <w:top w:val="single" w:color="BBBBBB" w:sz="4" w:space="8"/>
        </w:pBdr>
        <w:spacing w:after="110" w:before="280"/>
      </w:pPr>
      <w:r>
        <w:rPr>
          <w:rFonts w:ascii="Arial" w:cs="Arial" w:eastAsia="Arial" w:hAnsi="Arial"/>
          <w:b w:val="false"/>
          <w:bCs w:val="false"/>
          <w:smallCaps w:val="false"/>
          <w:color w:val="555555"/>
          <w:spacing w:val="40"/>
          <w:sz w:val="17"/>
          <w:szCs w:val="17"/>
        </w:rPr>
        <w:t xml:space="preserve">Qualifications</w:t>
      </w:r>
    </w:p>
    <w:p>
      <w:pPr>
        <w:pStyle w:val="CVEntry"/>
        <w:keepNext w:val="false"/>
        <w:tabs>
          <w:tab w:val="right" w:pos="9071"/>
        </w:tabs>
        <w:spacing w:after="30" w:before="0" w:line="26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ARB registered</w:t>
      </w:r>
      <w:r>
        <w:rPr>
          <w:rFonts w:ascii="Arial" w:cs="Arial" w:eastAsia="Arial" w:hAnsi="Arial"/>
          <w:color w:val="555555"/>
          <w:sz w:val="20"/>
          <w:szCs w:val="20"/>
        </w:rPr>
        <w:tab/>
        <w:t xml:space="preserve">2021</w:t>
      </w:r>
    </w:p>
    <w:p>
      <w:pPr>
        <w:pStyle w:val="CVEntry"/>
        <w:keepNext w:val="false"/>
        <w:tabs>
          <w:tab w:val="right" w:pos="9071"/>
        </w:tabs>
        <w:spacing w:after="30" w:before="110" w:line="26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Part 3, Professional Practice and Management</w:t>
      </w:r>
      <w:r>
        <w:rPr>
          <w:rFonts w:ascii="Arial" w:cs="Arial" w:eastAsia="Arial" w:hAnsi="Arial"/>
          <w:i w:val="false"/>
          <w:iCs w:val="false"/>
          <w:color w:val="555555"/>
          <w:sz w:val="21"/>
          <w:szCs w:val="21"/>
        </w:rPr>
        <w:t xml:space="preserve">, Northumbria Vale School of Architecture</w:t>
      </w:r>
      <w:r>
        <w:rPr>
          <w:rFonts w:ascii="Arial" w:cs="Arial" w:eastAsia="Arial" w:hAnsi="Arial"/>
          <w:color w:val="555555"/>
          <w:sz w:val="20"/>
          <w:szCs w:val="20"/>
        </w:rPr>
        <w:tab/>
        <w:t xml:space="preserve">2021</w:t>
      </w:r>
    </w:p>
    <w:p>
      <w:pPr>
        <w:pStyle w:val="CVEntry"/>
        <w:keepNext w:val="false"/>
        <w:tabs>
          <w:tab w:val="right" w:pos="9071"/>
        </w:tabs>
        <w:spacing w:after="30" w:before="110" w:line="26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MArch Architecture (Part 2)</w:t>
      </w:r>
      <w:r>
        <w:rPr>
          <w:rFonts w:ascii="Arial" w:cs="Arial" w:eastAsia="Arial" w:hAnsi="Arial"/>
          <w:i w:val="false"/>
          <w:iCs w:val="false"/>
          <w:color w:val="555555"/>
          <w:sz w:val="21"/>
          <w:szCs w:val="21"/>
        </w:rPr>
        <w:t xml:space="preserve">, University of Tyneside</w:t>
      </w:r>
      <w:r>
        <w:rPr>
          <w:rFonts w:ascii="Arial" w:cs="Arial" w:eastAsia="Arial" w:hAnsi="Arial"/>
          <w:color w:val="555555"/>
          <w:sz w:val="20"/>
          <w:szCs w:val="20"/>
        </w:rPr>
        <w:tab/>
        <w:t xml:space="preserve">2016–2018</w:t>
      </w:r>
    </w:p>
    <w:p>
      <w:pPr>
        <w:pStyle w:val="CVEntry"/>
        <w:keepNext w:val="false"/>
        <w:tabs>
          <w:tab w:val="right" w:pos="9071"/>
        </w:tabs>
        <w:spacing w:after="30" w:before="110" w:line="26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BA (Hons) Architecture (Part 1)</w:t>
      </w:r>
      <w:r>
        <w:rPr>
          <w:rFonts w:ascii="Arial" w:cs="Arial" w:eastAsia="Arial" w:hAnsi="Arial"/>
          <w:i w:val="false"/>
          <w:iCs w:val="false"/>
          <w:color w:val="555555"/>
          <w:sz w:val="21"/>
          <w:szCs w:val="21"/>
        </w:rPr>
        <w:t xml:space="preserve">, University of Tyneside</w:t>
      </w:r>
      <w:r>
        <w:rPr>
          <w:rFonts w:ascii="Arial" w:cs="Arial" w:eastAsia="Arial" w:hAnsi="Arial"/>
          <w:color w:val="555555"/>
          <w:sz w:val="20"/>
          <w:szCs w:val="20"/>
        </w:rPr>
        <w:tab/>
        <w:t xml:space="preserve">2012–2015</w:t>
      </w:r>
    </w:p>
    <w:p>
      <w:pPr>
        <w:pStyle w:val="CVSection"/>
        <w:keepNext/>
        <w:keepLines/>
        <w:pBdr>
          <w:top w:val="single" w:color="BBBBBB" w:sz="4" w:space="8"/>
        </w:pBdr>
        <w:spacing w:after="110" w:before="280"/>
      </w:pPr>
      <w:r>
        <w:rPr>
          <w:rFonts w:ascii="Arial" w:cs="Arial" w:eastAsia="Arial" w:hAnsi="Arial"/>
          <w:b w:val="false"/>
          <w:bCs w:val="false"/>
          <w:smallCaps w:val="false"/>
          <w:color w:val="555555"/>
          <w:spacing w:val="40"/>
          <w:sz w:val="17"/>
          <w:szCs w:val="17"/>
        </w:rPr>
        <w:t xml:space="preserve">Skills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Revit, AutoCAD and SketchUp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Planning applications and building regulations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Contract administration and site inspections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Presenting to clients and committees</w:t>
      </w:r>
    </w:p>
    <w:p>
      <w:pPr>
        <w:pStyle w:val="CVSection"/>
        <w:keepNext/>
        <w:keepLines/>
        <w:pBdr>
          <w:top w:val="single" w:color="BBBBBB" w:sz="4" w:space="8"/>
        </w:pBdr>
        <w:spacing w:after="110" w:before="280"/>
      </w:pPr>
      <w:r>
        <w:rPr>
          <w:rFonts w:ascii="Arial" w:cs="Arial" w:eastAsia="Arial" w:hAnsi="Arial"/>
          <w:b w:val="false"/>
          <w:bCs w:val="false"/>
          <w:smallCaps w:val="false"/>
          <w:color w:val="555555"/>
          <w:spacing w:val="40"/>
          <w:sz w:val="17"/>
          <w:szCs w:val="17"/>
        </w:rPr>
        <w:t xml:space="preserve">Additional information</w:t>
      </w:r>
    </w:p>
    <w:p>
      <w:pPr>
        <w:pStyle w:val="CVBody"/>
        <w:spacing w:after="8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RIBA chartered member. Full UK driving licence.</w:t>
      </w:r>
    </w:p>
    <w:sectPr>
      <w:pgSz w:w="11906" w:h="16838" w:orient="portrait"/>
      <w:pgMar w:top="1247" w:right="1417" w:bottom="1247" w:left="1417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222"/>
        <w:sz w:val="21"/>
        <w:szCs w:val="21"/>
      </w:rPr>
    </w:rPrDefault>
    <w:pPrDefault>
      <w:pPr>
        <w:widowControl/>
        <w:spacing w:after="80" w:line="2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80" w:line="260"/>
    </w:pPr>
    <w:rPr>
      <w:rFonts w:ascii="Arial" w:cs="Arial" w:eastAsia="Arial" w:hAnsi="Arial"/>
      <w:color w:val="222222"/>
      <w:sz w:val="21"/>
      <w:szCs w:val="21"/>
    </w:rPr>
  </w:style>
  <w:style w:type="paragraph" w:styleId="CVName">
    <w:name w:val="CV Name"/>
    <w:basedOn w:val="CVBody"/>
    <w:next w:val="CVRole"/>
    <w:qFormat/>
    <w:rPr>
      <w:rFonts w:ascii="Arial" w:cs="Arial" w:eastAsia="Arial" w:hAnsi="Arial"/>
      <w:b w:val="false"/>
      <w:bCs w:val="false"/>
      <w:color w:val="111111"/>
      <w:sz w:val="44"/>
      <w:szCs w:val="44"/>
    </w:rPr>
  </w:style>
  <w:style w:type="paragraph" w:styleId="CVRole">
    <w:name w:val="CV Role"/>
    <w:basedOn w:val="CVBody"/>
    <w:next w:val="CVContact"/>
    <w:qFormat/>
    <w:rPr>
      <w:b w:val="false"/>
      <w:bCs w:val="false"/>
      <w:color w:val="555555"/>
      <w:sz w:val="21"/>
      <w:szCs w:val="21"/>
    </w:rPr>
  </w:style>
  <w:style w:type="paragraph" w:styleId="CVContact">
    <w:name w:val="CV Contact"/>
    <w:basedOn w:val="CVBody"/>
    <w:qFormat/>
    <w:rPr>
      <w:color w:val="555555"/>
      <w:sz w:val="18"/>
      <w:szCs w:val="18"/>
    </w:rPr>
  </w:style>
  <w:style w:type="paragraph" w:styleId="CVSection">
    <w:name w:val="CV Section"/>
    <w:basedOn w:val="CVBody"/>
    <w:next w:val="CVBody"/>
    <w:qFormat/>
    <w:pPr>
      <w:keepNext/>
      <w:spacing w:after="110" w:before="280"/>
      <w:outlineLvl w:val="0"/>
    </w:pPr>
    <w:rPr>
      <w:rFonts w:ascii="Arial" w:cs="Arial" w:eastAsia="Arial" w:hAnsi="Arial"/>
      <w:b w:val="false"/>
      <w:bCs w:val="false"/>
      <w:smallCaps w:val="false"/>
      <w:color w:val="555555"/>
      <w:sz w:val="17"/>
      <w:szCs w:val="17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5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Architect CV example</dc:title>
  <dc:creator>CVTemplates</dc:creator>
  <cp:lastModifiedBy>Un-named</cp:lastModifiedBy>
  <cp:revision>1</cp:revision>
  <dcterms:created xsi:type="dcterms:W3CDTF">2026-10-09T16:34:30.755Z</dcterms:created>
  <dcterms:modified xsi:type="dcterms:W3CDTF">2026-10-09T16:34:30.755Z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