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50"/>
          <w:szCs w:val="50"/>
        </w:rPr>
        <w:t xml:space="preserve">Marta Kowalczyk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Finance Manager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24221F"/>
          <w:sz w:val="18"/>
          <w:szCs w:val="18"/>
        </w:rPr>
        <w:t xml:space="preserve">Blackpool | 07700 900934 | marta.kowalczyk@example.com | linkedin.com/in/marta-kowalczyk-example</w:t>
      </w:r>
    </w:p>
    <w:p>
      <w:pPr>
        <w:pStyle w:val="CVSection"/>
        <w:keepNext/>
        <w:keepLines/>
        <w:spacing w:after="100" w:before="6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Profile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ACCA-qualified finance manager with more than three years running the finance team of a £26 million building services contractor with 210 staff, after six years in audit and as a group financial accountant. Produces the monthly management accounts and board pack, owns the budget and the cash forecast, and leads a team of four. Looking for a financial controller or senior finance manager role.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Experience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Finance Manager | Fylde Coast Building Services Ltd, Blackpool | April 2023–present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Lead a team of four, a management accountant, two ledger clerks and a credit controller, reporting to the finance director.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Brought the monthly management accounts forward from working day 12 to working day 6 with a month-end checklist and earlier ledger cut-offs.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Run the annual budget with nine budget holders and write the monthly variance notes for the board.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Built a 13-week cash flow forecast, updated every Monday; the business has not used its overdraft since June 2024.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Cut debtor days from 58 to 41 in 18 months by invoicing within two days of an agreed valuation and chasing retentions on a schedule.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Prepare the quarterly VAT returns under Making Tax Digital, including the construction reverse charge, and the corporation tax pack for the external advisers.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Led the move from desktop Sage to cloud accounting software, adding two-person approval for any change to a supplier’s bank details.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Prepare the year-end audit files; the last two audits closed on the agreed timetable.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Group Financial Accountant | Northway Logistics Group, Warrington | 2020–2023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Prepared the statutory accounts for three group companies and the group consolidation.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Reconciled intercompany balances and kept the fixed asset register each month.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Audit Semi-Senior | Firth Lowe LLP, Manchester | 2017–2020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Audited owner-managed manufacturing and construction businesses with turnover up to £40 million, while studying for ACCA.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Qualifications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ACCA, Member (2020)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BSc (Hons) Accounting and Finance, 2:1, University of the Pennines (2017)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Skills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Management accounts, board packs and variance analysis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Budgets, forecasts and 13-week cash flow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Credit control and construction retentions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VAT, Making Tax Digital and the construction reverse charge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Excel and Power BI; Sage and cloud accounting software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Leading and training a finance team</w:t>
      </w:r>
    </w:p>
    <w:sectPr>
      <w:pgSz w:w="11906" w:h="16838" w:orient="portrait"/>
      <w:pgMar w:top="964" w:right="1077" w:bottom="964" w:left="107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widowControl/>
        <w:spacing w:after="80" w:line="24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45"/>
    </w:pPr>
    <w:rPr>
      <w:rFonts w:ascii="Arial" w:cs="Arial" w:eastAsia="Arial" w:hAnsi="Arial"/>
      <w:color w:val="24221F"/>
      <w:sz w:val="22"/>
      <w:szCs w:val="22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24221F"/>
      <w:sz w:val="50"/>
      <w:szCs w:val="50"/>
    </w:rPr>
  </w:style>
  <w:style w:type="paragraph" w:styleId="CVRole">
    <w:name w:val="CV Role"/>
    <w:basedOn w:val="CVBody"/>
    <w:next w:val="CVContact"/>
    <w:qFormat/>
    <w:rPr>
      <w:b/>
      <w:bCs/>
      <w:color w:val="24221F"/>
      <w:sz w:val="22"/>
      <w:szCs w:val="22"/>
    </w:rPr>
  </w:style>
  <w:style w:type="paragraph" w:styleId="CVContact">
    <w:name w:val="CV Contact"/>
    <w:basedOn w:val="CVBody"/>
    <w:qFormat/>
    <w:rPr>
      <w:color w:val="24221F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00" w:before="200"/>
      <w:outlineLvl w:val="0"/>
    </w:pPr>
    <w:rPr>
      <w:rFonts w:ascii="Arial" w:cs="Arial" w:eastAsia="Arial" w:hAnsi="Arial"/>
      <w:b/>
      <w:bCs/>
      <w:smallCaps w:val="false"/>
      <w:color w:val="742F45"/>
      <w:sz w:val="22"/>
      <w:szCs w:val="22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6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Finance manager CV example</dc:title>
  <dc:creator>CVTemplates</dc:creator>
  <cp:lastModifiedBy>Un-named</cp:lastModifiedBy>
  <cp:revision>1</cp:revision>
  <dcterms:created xsi:type="dcterms:W3CDTF">2026-11-04T03:17:02.670Z</dcterms:created>
  <dcterms:modified xsi:type="dcterms:W3CDTF">2026-11-04T03:17:02.670Z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