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1D1D1D"/>
          <w:sz w:val="44"/>
          <w:szCs w:val="44"/>
        </w:rPr>
        <w:t xml:space="preserve">Dr Nadia Rahman</w:t>
      </w:r>
    </w:p>
    <w:p>
      <w:pPr>
        <w:pStyle w:val="CVRole"/>
        <w:spacing w:after="6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Teaching Fellow in Psychology</w:t>
      </w:r>
    </w:p>
    <w:p>
      <w:pPr>
        <w:pStyle w:val="CVContact"/>
        <w:spacing w:after="120"/>
      </w:pPr>
      <w:r>
        <w:rPr>
          <w:rFonts w:ascii="Georgia" w:cs="Georgia" w:eastAsia="Georgia" w:hAnsi="Georgia"/>
          <w:color w:val="444444"/>
          <w:sz w:val="18"/>
          <w:szCs w:val="18"/>
        </w:rPr>
        <w:t xml:space="preserve">Nottingham | 07700 900633 | nadia.rahman@example.com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Profile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Psychologist with a PhD in memory and ageing and three years as a teaching fellow, leading two undergraduate modules. Redesigned the second-year research methods module, raising its pass rate from 81% to 92%. Fellow of the Higher Education Academy, with two first-author papers. Looking for a lecturer post in teaching and research.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Teaching and research employment</w:t>
      </w:r>
    </w:p>
    <w:p>
      <w:pPr>
        <w:pStyle w:val="CVEntry"/>
        <w:keepNext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Teaching Fellow in Psychology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Hollinsford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2023–present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Lead two undergraduate modules, Research Methods 2 (210 students) and Cognitive Psychology (160 students), with a team of six seminar tutors.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Redesigned Research Methods 2 around weekly data sets and short quizzes; the pass rate rose from 81% to 92% in a year.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Supervise eight final-year projects a year, and am personal tutor to 25 students.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Set and mark coursework and exams, and moderate marking for two other modules.</w:t>
      </w:r>
    </w:p>
    <w:p>
      <w:pPr>
        <w:pStyle w:val="CVEntry"/>
        <w:keepNext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Graduate Teaching Assistant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School of Psychology, Fenmoor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2019–2023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Taught first-year statistics seminars and lab classes, about 60 students a year.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Education</w:t>
      </w:r>
    </w:p>
    <w:p>
      <w:pPr>
        <w:pStyle w:val="CVEntry"/>
        <w:keepNext w:val="false"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PhD Psychology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Fenmoor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2019–2023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Thesis: How older adults use notes, phones and routines to remember appointments.</w:t>
      </w:r>
    </w:p>
    <w:p>
      <w:pPr>
        <w:pStyle w:val="CVEntry"/>
        <w:keepNext w:val="false"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MSc Research Methods in Psychology, Distinction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Fenmoor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2018–2019</w:t>
      </w:r>
    </w:p>
    <w:p>
      <w:pPr>
        <w:pStyle w:val="CVEntry"/>
        <w:keepNext w:val="false"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BSc (Hons) Psychology, First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Wexham University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2015–2018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Selected publications</w:t>
      </w:r>
    </w:p>
    <w:p>
      <w:pPr>
        <w:pStyle w:val="CVBullet"/>
        <w:numPr>
          <w:ilvl w:val="0"/>
          <w:numId w:val="3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Rahman, N. and Doyle, P. (2025) ‘Everyday memory aids in later life’, Journal of Applied Memory, 14(2). [Fictional reference]</w:t>
      </w:r>
    </w:p>
    <w:p>
      <w:pPr>
        <w:pStyle w:val="CVBullet"/>
        <w:numPr>
          <w:ilvl w:val="0"/>
          <w:numId w:val="3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Rahman, N. (2023) ‘Planning ahead: older adults and appointment memory’, Ageing and Cognition, 9(4). [Fictional reference]</w:t>
      </w:r>
    </w:p>
    <w:p>
      <w:pPr>
        <w:pStyle w:val="CVBullet"/>
        <w:numPr>
          <w:ilvl w:val="0"/>
          <w:numId w:val="3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One further paper as co-author (2024); one under review.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Teaching recognition and funding</w:t>
      </w:r>
    </w:p>
    <w:p>
      <w:pPr>
        <w:pStyle w:val="CVEntry"/>
        <w:keepNext w:val="false"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Fellow of the Higher Education Academy (FHEA), Advance HE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2025</w:t>
      </w:r>
    </w:p>
    <w:p>
      <w:pPr>
        <w:pStyle w:val="CVEntry"/>
        <w:keepNext w:val="false"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Teaching development grant, £3,000, for the research methods redesign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2024 [Fictional award]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Course and assessment design; online and hybrid teaching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Statistics in R and SPSS; experimental design; ethics applications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Clear written feedback; personal tutoring</w:t>
      </w:r>
    </w:p>
    <w:sectPr>
      <w:headerReference w:type="default" r:id="rId7"/>
      <w:headerReference w:type="first" r:id="rId8"/>
      <w:pgSz w:w="11906" w:h="16838" w:orient="portrait"/>
      <w:pgMar w:top="1134" w:right="1247" w:bottom="1134" w:left="1247" w:header="510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Georgia" w:cs="Georgia" w:eastAsia="Georgia" w:hAnsi="Georgia"/>
        <w:color w:val="666666"/>
        <w:sz w:val="17"/>
        <w:szCs w:val="17"/>
      </w:rPr>
      <w:t xml:space="preserve">Dr Nadia Rahman · Curriculum vitae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Georgia" w:cs="Georgia" w:eastAsia="Georgia" w:hAnsi="Georg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1D1D1D"/>
      <w:sz w:val="44"/>
      <w:szCs w:val="44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Georgia" w:cs="Georgia" w:eastAsia="Georgia" w:hAnsi="Georgia"/>
      <w:b/>
      <w:bCs/>
      <w:smallCaps w:val="false"/>
      <w:color w:val="1D1D1D"/>
      <w:sz w:val="25"/>
      <w:szCs w:val="25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Lecturer CV example</dc:title>
  <dc:creator>CVTemplates</dc:creator>
  <cp:lastModifiedBy>Un-named</cp:lastModifiedBy>
  <cp:revision>1</cp:revision>
  <dcterms:created xsi:type="dcterms:W3CDTF">2026-10-17T17:15:46.949Z</dcterms:created>
  <dcterms:modified xsi:type="dcterms:W3CDTF">2026-10-17T17:15:46.949Z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